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Sec. 28.004.  LOCAL SCHOOL HEALTH ADVISORY COUNCIL AND HEALTH EDUCATION INSTRUCTION.  (a)  The board of trustees of each school district shall establish a local school health advisory council to assist the district in ensuring that local community values are reflected in the district's health education instruction.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(b)  A school district must consider the recommendations of the local school health advisory council before changing the district's health education curriculum or instruction.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(c)  The local school health advisory council's duties include recommending:</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(1)  the number of hours of instruction to be provided in health education;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(2)  policies, procedures, strategies, and curriculum appropriate for specific grade levels designed to prevent obesity, cardiovascular disease, Type 2 diabetes, and mental health concerns through coordination of:</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(A)  health education;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(B)  physical education and physical activity;</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(C)  nutrition services;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(D)  parental involvement;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(E)  instruction to prevent the use of tobacco;</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(F)  school health services;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(G)  counseling and guidance services;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(H)  a safe and healthy school environment;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(I)  school employee wellness;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(3)  appropriate grade levels and methods of instruction for human sexuality instruction;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(4)  strategies for integrating the curriculum components specified by Subdivision (2) with the following elements in a coordinated school health program for the district: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(A)  school health services;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(B)  counseling and guidance services;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(C)  a safe and healthy school environment;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(D)  school employee wellness;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lastRenderedPageBreak/>
        <w:t>(5)  if feasible, joint use agreements or strategies for collaboration between the school district and community organizations or agencies.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(d)  The board of trustees shall appoint at least five members to the local school health advisory council.  A majority of the members must be persons who are parents of students enrolled in the district and who are not employed by the district.  One of those members shall serve as chair or co-chair of the council.  The board of trustees also may appoint one or more persons from each of the following groups or a representative from a group other than a group specified under this subsection: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(1)  public school teachers;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(2)  public school administrators;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(3)  district students;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(4)  health care professionals;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(5)  the business community;</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(6)  law enforcement;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(7)  senior citizens;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(8)  the clergy;</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(9)  nonprofit health organizations;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(10)  local domestic violence programs.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(d-1)  The local school health advisory council shall meet at least four times each year.</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(e)  Any course materials and instruction relating to human sexuality, sexually transmitted diseases, or human immunodeficiency virus or acquired immune deficiency syndrome shall be selected by the board of trustees with the advice of the local school health advisory council and must: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(1)  present abstinence from sexual activity as the preferred choice of behavior in relationship to all sexual activity for unmarried persons of school age;</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(2)  devote more attention to abstinence from sexual activity than to any other behavior;</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(3)  emphasize that abstinence from sexual activity, if used consistently and correctly, is the only method that is </w:t>
      </w:r>
      <w:r w:rsidRPr="00353308">
        <w:rPr>
          <w:rFonts w:ascii="Courier New" w:eastAsia="Times New Roman" w:hAnsi="Courier New" w:cs="Courier New"/>
          <w:color w:val="000000"/>
          <w:sz w:val="24"/>
          <w:szCs w:val="24"/>
        </w:rPr>
        <w:lastRenderedPageBreak/>
        <w:t>100 percent effective in preventing pregnancy, sexually transmitted diseases, infection with human immunodeficiency virus or acquired immune deficiency syndrome, and the emotional trauma associated with adolescent sexual activity;</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(4)  direct adolescents to a standard of behavior in which abstinence from sexual activity before marriage is the most effective way to prevent pregnancy, sexually transmitted diseases, and infection with human immunodeficiency virus or acquired immune deficiency syndrome;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(5)  teach contraception and condom use in terms of human use reality rates instead of theoretical laboratory rates, if instruction on contraception and condoms is included in curriculum content.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(f)  A school district may not distribute condoms in connection with instruction relating to human sexuality.</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(g)  A school district that provides human sexuality instruction may separate students according to sex for instructional purposes.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(h)  The board of trustees shall determine the specific content of the district's instruction in human sexuality, in accordance with Subsections (e), (f), and (g).</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(i)  Before each school year, a school district shall provide written notice to a parent of each student enrolled in the district of the board of trustees' decision regarding whether the district will provide human sexuality instruction to district students.  If instruction will be provided, the notice must include:</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(1)  a summary of the basic content of the district's human sexuality instruction to be provided to the student, including a statement informing the parent of the instructional requirements under state law;</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(2)  a statement of the parent's right to:</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(A)  review curriculum materials as provided by Subsection (j);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(B)  remove the student from any part of the district's human sexuality instruction without subjecting the </w:t>
      </w:r>
      <w:r w:rsidRPr="00353308">
        <w:rPr>
          <w:rFonts w:ascii="Courier New" w:eastAsia="Times New Roman" w:hAnsi="Courier New" w:cs="Courier New"/>
          <w:color w:val="000000"/>
          <w:sz w:val="24"/>
          <w:szCs w:val="24"/>
        </w:rPr>
        <w:lastRenderedPageBreak/>
        <w:t>student to any disciplinary action, academic penalty, or other sanction imposed by the district or the student's school;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(3)  information describing the opportunities for parental involvement in the development of the curriculum to be used in human sexuality instruction, including information regarding the local school health advisory council established under Subsection (a).</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(i-1)  A parent may use the grievance procedure adopted under Section </w:t>
      </w:r>
      <w:hyperlink r:id="rId4" w:tgtFrame="new" w:history="1">
        <w:r w:rsidRPr="00353308">
          <w:rPr>
            <w:rFonts w:ascii="Courier New" w:eastAsia="Times New Roman" w:hAnsi="Courier New" w:cs="Courier New"/>
            <w:color w:val="0000FF"/>
            <w:sz w:val="24"/>
            <w:szCs w:val="24"/>
          </w:rPr>
          <w:t>26.011</w:t>
        </w:r>
      </w:hyperlink>
      <w:r w:rsidRPr="00353308">
        <w:rPr>
          <w:rFonts w:ascii="Courier New" w:eastAsia="Times New Roman" w:hAnsi="Courier New" w:cs="Courier New"/>
          <w:color w:val="000000"/>
          <w:sz w:val="24"/>
          <w:szCs w:val="24"/>
        </w:rPr>
        <w:t xml:space="preserve"> concerning a complaint of a violation of Subsection (i).</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(j)  A school district shall make all curriculum materials used in the district's human sexuality instruction available for reasonable public inspection.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(k)  A school district shall publish in the student handbook and post on the district's Internet website, if the district has an Internet website:</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(1)  a statement of the policies adopted to ensure that elementary school, middle school, and junior high school students engage in at least the amount and level of physical activity required by Section </w:t>
      </w:r>
      <w:hyperlink r:id="rId5" w:tgtFrame="new" w:history="1">
        <w:r w:rsidRPr="00353308">
          <w:rPr>
            <w:rFonts w:ascii="Courier New" w:eastAsia="Times New Roman" w:hAnsi="Courier New" w:cs="Courier New"/>
            <w:color w:val="0000FF"/>
            <w:sz w:val="24"/>
            <w:szCs w:val="24"/>
          </w:rPr>
          <w:t>28.002</w:t>
        </w:r>
      </w:hyperlink>
      <w:r w:rsidRPr="00353308">
        <w:rPr>
          <w:rFonts w:ascii="Courier New" w:eastAsia="Times New Roman" w:hAnsi="Courier New" w:cs="Courier New"/>
          <w:color w:val="000000"/>
          <w:sz w:val="24"/>
          <w:szCs w:val="24"/>
        </w:rPr>
        <w:t>(l);</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(2)  a statement of:</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(A)  the number of times during the preceding year the district's school health advisory council has met;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(B)  whether the district has adopted and enforces policies to ensure that district campuses comply with agency vending machine and food service guidelines for restricting student access to vending machines;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(C)  whether the district has adopted and enforces policies and procedures that prescribe penalties for the use of tobacco products by students and others on school campuses or at school-sponsored or school-related activities;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(3)  a statement providing notice to parents that they can request in writing their child's physical fitness assessment results at the end of the school year.</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lastRenderedPageBreak/>
        <w:t>(l)  The local school health advisory council shall consider and make policy recommendations to the district concerning the importance of daily recess for elementary school students.  The council must consider research regarding unstructured and undirected play, academic and social development, and the health benefits of daily recess in making the recommendations.  The council shall ensure that local community values are reflected in any policy recommendation made to the district under this subsection.</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(l-1)  The local school health advisory council shall establish a physical activity and fitness planning subcommittee to consider issues relating to student physical activity and fitness and make policy recommendations to increase physical activity and improve fitness among students.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(m)  In addition to performing other duties, the local school health advisory council shall submit to the board of trustees, at least annually, a written report that includes:</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(1)  any council recommendation concerning the school district's health education curriculum and instruction or related matters that the council has not previously submitted to the board;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(2)  any suggested modification to a council recommendation previously submitted to the board;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(3)  a detailed explanation of the council's activities during the period between the date of the current report and the date of the last prior written report; and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(4)  any recommendations made by the physical activity and fitness planning subcommittee.</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(m-1)  Expired.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(m-2)  Expired.</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(n)  Any joint use agreement that a school district and community organization or agency enter into based on a recommendation of the local school health advisory council under Subsection (c)(5) must address liability for the school district and community organization or agency in the agreement.</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lastRenderedPageBreak/>
        <w:t>Added by Acts 1995, 74th Leg., ch. 260, Sec. 1, eff. May 30, 1995.  Amended by Acts 2001, 77th Leg., ch. 907, Sec. 2, eff. June 14, 2001;  Acts 2003, 78th Leg., ch. 944, Sec. 1, 2, eff. Sept. 1, 2003.</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Amended by: </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Acts 2005, 79th Leg., Ch. 784 (S.B. </w:t>
      </w:r>
      <w:hyperlink r:id="rId6" w:tgtFrame="new" w:history="1">
        <w:r w:rsidRPr="00353308">
          <w:rPr>
            <w:rFonts w:ascii="Courier New" w:eastAsia="Times New Roman" w:hAnsi="Courier New" w:cs="Courier New"/>
            <w:color w:val="0000FF"/>
            <w:sz w:val="24"/>
            <w:szCs w:val="24"/>
          </w:rPr>
          <w:t>42</w:t>
        </w:r>
      </w:hyperlink>
      <w:r w:rsidRPr="00353308">
        <w:rPr>
          <w:rFonts w:ascii="Courier New" w:eastAsia="Times New Roman" w:hAnsi="Courier New" w:cs="Courier New"/>
          <w:color w:val="000000"/>
          <w:sz w:val="24"/>
          <w:szCs w:val="24"/>
        </w:rPr>
        <w:t>), Sec. 2, eff. June 17, 2005.</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Acts 2007, 80th Leg., R.S., Ch. 1377 (S.B. </w:t>
      </w:r>
      <w:hyperlink r:id="rId7" w:tgtFrame="new" w:history="1">
        <w:r w:rsidRPr="00353308">
          <w:rPr>
            <w:rFonts w:ascii="Courier New" w:eastAsia="Times New Roman" w:hAnsi="Courier New" w:cs="Courier New"/>
            <w:color w:val="0000FF"/>
            <w:sz w:val="24"/>
            <w:szCs w:val="24"/>
          </w:rPr>
          <w:t>530</w:t>
        </w:r>
      </w:hyperlink>
      <w:r w:rsidRPr="00353308">
        <w:rPr>
          <w:rFonts w:ascii="Courier New" w:eastAsia="Times New Roman" w:hAnsi="Courier New" w:cs="Courier New"/>
          <w:color w:val="000000"/>
          <w:sz w:val="24"/>
          <w:szCs w:val="24"/>
        </w:rPr>
        <w:t>), Sec. 2, eff. June 15, 2007.</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Acts 2009, 81st Leg., R.S., Ch. 729 (S.B. </w:t>
      </w:r>
      <w:hyperlink r:id="rId8" w:tgtFrame="new" w:history="1">
        <w:r w:rsidRPr="00353308">
          <w:rPr>
            <w:rFonts w:ascii="Courier New" w:eastAsia="Times New Roman" w:hAnsi="Courier New" w:cs="Courier New"/>
            <w:color w:val="0000FF"/>
            <w:sz w:val="24"/>
            <w:szCs w:val="24"/>
          </w:rPr>
          <w:t>283</w:t>
        </w:r>
      </w:hyperlink>
      <w:r w:rsidRPr="00353308">
        <w:rPr>
          <w:rFonts w:ascii="Courier New" w:eastAsia="Times New Roman" w:hAnsi="Courier New" w:cs="Courier New"/>
          <w:color w:val="000000"/>
          <w:sz w:val="24"/>
          <w:szCs w:val="24"/>
        </w:rPr>
        <w:t>), Sec. 1, eff. September 1, 2009.</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Acts 2011, 82nd Leg., R.S., Ch. 1235 (S.B. </w:t>
      </w:r>
      <w:hyperlink r:id="rId9" w:tgtFrame="new" w:history="1">
        <w:r w:rsidRPr="00353308">
          <w:rPr>
            <w:rFonts w:ascii="Courier New" w:eastAsia="Times New Roman" w:hAnsi="Courier New" w:cs="Courier New"/>
            <w:color w:val="0000FF"/>
            <w:sz w:val="24"/>
            <w:szCs w:val="24"/>
          </w:rPr>
          <w:t>736</w:t>
        </w:r>
      </w:hyperlink>
      <w:r w:rsidRPr="00353308">
        <w:rPr>
          <w:rFonts w:ascii="Courier New" w:eastAsia="Times New Roman" w:hAnsi="Courier New" w:cs="Courier New"/>
          <w:color w:val="000000"/>
          <w:sz w:val="24"/>
          <w:szCs w:val="24"/>
        </w:rPr>
        <w:t>), Sec. 1, eff. June 17, 2011.</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Acts 2013, 83rd Leg., R.S., Ch. 892 (H.B. </w:t>
      </w:r>
      <w:hyperlink r:id="rId10" w:tgtFrame="new" w:history="1">
        <w:r w:rsidRPr="00353308">
          <w:rPr>
            <w:rFonts w:ascii="Courier New" w:eastAsia="Times New Roman" w:hAnsi="Courier New" w:cs="Courier New"/>
            <w:color w:val="0000FF"/>
            <w:sz w:val="24"/>
            <w:szCs w:val="24"/>
          </w:rPr>
          <w:t>1018</w:t>
        </w:r>
      </w:hyperlink>
      <w:r w:rsidRPr="00353308">
        <w:rPr>
          <w:rFonts w:ascii="Courier New" w:eastAsia="Times New Roman" w:hAnsi="Courier New" w:cs="Courier New"/>
          <w:color w:val="000000"/>
          <w:sz w:val="24"/>
          <w:szCs w:val="24"/>
        </w:rPr>
        <w:t>), Sec. 1, eff. September 1, 2013.</w:t>
      </w:r>
    </w:p>
    <w:p w:rsidR="00353308" w:rsidRPr="00353308" w:rsidRDefault="00353308" w:rsidP="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353308">
        <w:rPr>
          <w:rFonts w:ascii="Courier New" w:eastAsia="Times New Roman" w:hAnsi="Courier New" w:cs="Courier New"/>
          <w:color w:val="000000"/>
          <w:sz w:val="24"/>
          <w:szCs w:val="24"/>
        </w:rPr>
        <w:t xml:space="preserve">Acts 2013, 83rd Leg., R.S., Ch. 1321 (S.B. </w:t>
      </w:r>
      <w:hyperlink r:id="rId11" w:tgtFrame="new" w:history="1">
        <w:r w:rsidRPr="00353308">
          <w:rPr>
            <w:rFonts w:ascii="Courier New" w:eastAsia="Times New Roman" w:hAnsi="Courier New" w:cs="Courier New"/>
            <w:color w:val="0000FF"/>
            <w:sz w:val="24"/>
            <w:szCs w:val="24"/>
          </w:rPr>
          <w:t>460</w:t>
        </w:r>
      </w:hyperlink>
      <w:r w:rsidRPr="00353308">
        <w:rPr>
          <w:rFonts w:ascii="Courier New" w:eastAsia="Times New Roman" w:hAnsi="Courier New" w:cs="Courier New"/>
          <w:color w:val="000000"/>
          <w:sz w:val="24"/>
          <w:szCs w:val="24"/>
        </w:rPr>
        <w:t>), Sec. 3, eff. September 1, 2013.</w:t>
      </w:r>
    </w:p>
    <w:p w:rsidR="00FE573F" w:rsidRDefault="00FE573F"/>
    <w:sectPr w:rsidR="00FE573F" w:rsidSect="00FE5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3308"/>
    <w:rsid w:val="00353308"/>
    <w:rsid w:val="00FE5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3308"/>
    <w:rPr>
      <w:rFonts w:ascii="Courier New" w:eastAsia="Times New Roman" w:hAnsi="Courier New" w:cs="Courier New"/>
      <w:sz w:val="20"/>
      <w:szCs w:val="20"/>
    </w:rPr>
  </w:style>
  <w:style w:type="paragraph" w:customStyle="1" w:styleId="left">
    <w:name w:val="left"/>
    <w:basedOn w:val="Normal"/>
    <w:rsid w:val="003533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3308"/>
    <w:rPr>
      <w:color w:val="0000FF"/>
      <w:u w:val="single"/>
    </w:rPr>
  </w:style>
</w:styles>
</file>

<file path=word/webSettings.xml><?xml version="1.0" encoding="utf-8"?>
<w:webSettings xmlns:r="http://schemas.openxmlformats.org/officeDocument/2006/relationships" xmlns:w="http://schemas.openxmlformats.org/wordprocessingml/2006/main">
  <w:divs>
    <w:div w:id="7049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81R/billtext/html/SB00283F.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gis.state.tx.us/tlodocs/80R/billtext/html/SB00530F.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state.tx.us/tlodocs/79R/billtext/html/SB00042F.HTM" TargetMode="External"/><Relationship Id="rId11" Type="http://schemas.openxmlformats.org/officeDocument/2006/relationships/hyperlink" Target="http://www.legis.state.tx.us/tlodocs/83R/billtext/html/SB00460F.HTM" TargetMode="External"/><Relationship Id="rId5" Type="http://schemas.openxmlformats.org/officeDocument/2006/relationships/hyperlink" Target="http://www.statutes.legis.state.tx.us/GetStatute.aspx?Code=ED&amp;Value=28.002&amp;Date=9/19/2014" TargetMode="External"/><Relationship Id="rId10" Type="http://schemas.openxmlformats.org/officeDocument/2006/relationships/hyperlink" Target="http://www.legis.state.tx.us/tlodocs/83R/billtext/html/HB01018F.HTM" TargetMode="External"/><Relationship Id="rId4" Type="http://schemas.openxmlformats.org/officeDocument/2006/relationships/hyperlink" Target="http://www.statutes.legis.state.tx.us/GetStatute.aspx?Code=ED&amp;Value=26.011&amp;Date=9/19/2014" TargetMode="External"/><Relationship Id="rId9" Type="http://schemas.openxmlformats.org/officeDocument/2006/relationships/hyperlink" Target="http://www.legis.state.tx.us/tlodocs/82R/billtext/html/SB00736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8657</Characters>
  <Application>Microsoft Office Word</Application>
  <DocSecurity>0</DocSecurity>
  <Lines>72</Lines>
  <Paragraphs>20</Paragraphs>
  <ScaleCrop>false</ScaleCrop>
  <Company>Microsoft</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smiller</dc:creator>
  <cp:lastModifiedBy>smiller</cp:lastModifiedBy>
  <cp:revision>1</cp:revision>
  <dcterms:created xsi:type="dcterms:W3CDTF">2014-11-17T20:21:00Z</dcterms:created>
  <dcterms:modified xsi:type="dcterms:W3CDTF">2014-11-17T20:22:00Z</dcterms:modified>
</cp:coreProperties>
</file>